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23" w:rsidRPr="00374723" w:rsidRDefault="00374723" w:rsidP="00374723">
      <w:pPr>
        <w:shd w:val="clear" w:color="auto" w:fill="FFFFFF"/>
        <w:bidi/>
        <w:spacing w:after="0" w:line="240" w:lineRule="auto"/>
        <w:jc w:val="both"/>
        <w:rPr>
          <w:rFonts w:ascii="Gandom" w:eastAsia="Times New Roman" w:hAnsi="Gandom" w:cs="B Nazanin" w:hint="cs"/>
          <w:b/>
          <w:bCs/>
          <w:sz w:val="26"/>
          <w:szCs w:val="26"/>
          <w:bdr w:val="none" w:sz="0" w:space="0" w:color="auto" w:frame="1"/>
          <w:rtl/>
          <w:lang w:bidi="fa-IR"/>
        </w:rPr>
      </w:pPr>
      <w:r w:rsidRPr="00374723">
        <w:rPr>
          <w:rFonts w:ascii="Gandom" w:eastAsia="Times New Roman" w:hAnsi="Gandom" w:cs="B Nazanin" w:hint="cs"/>
          <w:b/>
          <w:bCs/>
          <w:sz w:val="26"/>
          <w:szCs w:val="26"/>
          <w:bdr w:val="none" w:sz="0" w:space="0" w:color="auto" w:frame="1"/>
          <w:rtl/>
          <w:lang w:bidi="fa-IR"/>
        </w:rPr>
        <w:t>ماده 15 و 16 قانون مبارزه با مواد مخدر و تبصره های آن</w:t>
      </w:r>
    </w:p>
    <w:p w:rsidR="00374723" w:rsidRPr="00374723" w:rsidRDefault="00374723" w:rsidP="00374723">
      <w:pPr>
        <w:shd w:val="clear" w:color="auto" w:fill="FFFFFF"/>
        <w:bidi/>
        <w:spacing w:after="0" w:line="240" w:lineRule="auto"/>
        <w:jc w:val="both"/>
        <w:rPr>
          <w:rFonts w:ascii="Gandom" w:eastAsia="Times New Roman" w:hAnsi="Gandom" w:cs="B Nazanin"/>
          <w:sz w:val="26"/>
          <w:szCs w:val="26"/>
        </w:rPr>
      </w:pPr>
      <w:r w:rsidRPr="00374723">
        <w:rPr>
          <w:rFonts w:ascii="Gandom" w:eastAsia="Times New Roman" w:hAnsi="Gandom" w:cs="B Nazanin"/>
          <w:b/>
          <w:bCs/>
          <w:sz w:val="26"/>
          <w:szCs w:val="26"/>
          <w:bdr w:val="none" w:sz="0" w:space="0" w:color="auto" w:frame="1"/>
          <w:rtl/>
        </w:rPr>
        <w:t>ماده</w:t>
      </w:r>
      <w:r w:rsidRPr="00374723">
        <w:rPr>
          <w:rFonts w:ascii="Gandom" w:eastAsia="Times New Roman" w:hAnsi="Gandom" w:cs="B Nazanin"/>
          <w:b/>
          <w:bCs/>
          <w:sz w:val="26"/>
          <w:szCs w:val="26"/>
          <w:bdr w:val="none" w:sz="0" w:space="0" w:color="auto" w:frame="1"/>
          <w:rtl/>
          <w:lang w:bidi="fa-IR"/>
        </w:rPr>
        <w:t>۱۵</w:t>
      </w:r>
      <w:r w:rsidRPr="00374723">
        <w:rPr>
          <w:rFonts w:ascii="Gandom" w:eastAsia="Times New Roman" w:hAnsi="Gandom" w:cs="B Nazanin"/>
          <w:b/>
          <w:bCs/>
          <w:sz w:val="26"/>
          <w:szCs w:val="26"/>
          <w:bdr w:val="none" w:sz="0" w:space="0" w:color="auto" w:frame="1"/>
          <w:rtl/>
        </w:rPr>
        <w:t>ـ</w:t>
      </w:r>
      <w:r w:rsidRPr="00374723">
        <w:rPr>
          <w:rFonts w:ascii="Gandom" w:eastAsia="Times New Roman" w:hAnsi="Gandom" w:cs="B Nazanin"/>
          <w:sz w:val="26"/>
          <w:szCs w:val="26"/>
        </w:rPr>
        <w:t> </w:t>
      </w:r>
      <w:r w:rsidRPr="00374723">
        <w:rPr>
          <w:rFonts w:ascii="Gandom" w:eastAsia="Times New Roman" w:hAnsi="Gandom" w:cs="B Nazanin"/>
          <w:sz w:val="26"/>
          <w:szCs w:val="26"/>
          <w:rtl/>
        </w:rPr>
        <w:t>معتادان مکلفند با مراجعه به مراکز مجاز دولتی، غیردولتی یا خصوصی و یا سازمان‌های مردم‌نهاد درمان و کاهش آسیب، اقدام به ترک اعتیاد نمایند. معتادی که با مراجعه به مراکز مذکور نسبت به درمان خود اقدام و گواهی تحت درمان و کاهش آسیب دریافت نماید، چنانچه تجاهر به اعتیاد ننماید از تعقیب کیفری معاف می‌باشد. معتادانی که مبادرت به درمان یا ترک اعتیاد ننمایند، مجرمند</w:t>
      </w:r>
      <w:r w:rsidRPr="00374723">
        <w:rPr>
          <w:rFonts w:ascii="Gandom" w:eastAsia="Times New Roman" w:hAnsi="Gandom" w:cs="B Nazanin"/>
          <w:sz w:val="26"/>
          <w:szCs w:val="26"/>
        </w:rPr>
        <w:t>.</w:t>
      </w:r>
      <w:r w:rsidRPr="00374723">
        <w:rPr>
          <w:rFonts w:ascii="Gandom" w:eastAsia="Times New Roman" w:hAnsi="Gandom" w:cs="B Nazanin"/>
          <w:sz w:val="26"/>
          <w:szCs w:val="26"/>
        </w:rPr>
        <w:br/>
      </w:r>
      <w:r w:rsidRPr="00374723">
        <w:rPr>
          <w:rFonts w:ascii="Gandom" w:eastAsia="Times New Roman" w:hAnsi="Gandom" w:cs="B Nazanin"/>
          <w:b/>
          <w:bCs/>
          <w:sz w:val="26"/>
          <w:szCs w:val="26"/>
          <w:bdr w:val="none" w:sz="0" w:space="0" w:color="auto" w:frame="1"/>
          <w:rtl/>
        </w:rPr>
        <w:t>تبصره</w:t>
      </w:r>
      <w:r w:rsidRPr="00374723">
        <w:rPr>
          <w:rFonts w:ascii="Gandom" w:eastAsia="Times New Roman" w:hAnsi="Gandom" w:cs="B Nazanin"/>
          <w:b/>
          <w:bCs/>
          <w:sz w:val="26"/>
          <w:szCs w:val="26"/>
          <w:bdr w:val="none" w:sz="0" w:space="0" w:color="auto" w:frame="1"/>
          <w:rtl/>
          <w:lang w:bidi="fa-IR"/>
        </w:rPr>
        <w:t>۱</w:t>
      </w:r>
      <w:r w:rsidRPr="00374723">
        <w:rPr>
          <w:rFonts w:ascii="Gandom" w:eastAsia="Times New Roman" w:hAnsi="Gandom" w:cs="B Nazanin"/>
          <w:b/>
          <w:bCs/>
          <w:sz w:val="26"/>
          <w:szCs w:val="26"/>
          <w:bdr w:val="none" w:sz="0" w:space="0" w:color="auto" w:frame="1"/>
          <w:rtl/>
        </w:rPr>
        <w:t>ـ</w:t>
      </w:r>
      <w:r w:rsidRPr="00374723">
        <w:rPr>
          <w:rFonts w:ascii="Gandom" w:eastAsia="Times New Roman" w:hAnsi="Gandom" w:cs="B Nazanin"/>
          <w:b/>
          <w:bCs/>
          <w:sz w:val="26"/>
          <w:szCs w:val="26"/>
          <w:bdr w:val="none" w:sz="0" w:space="0" w:color="auto" w:frame="1"/>
        </w:rPr>
        <w:t> </w:t>
      </w:r>
      <w:hyperlink r:id="rId5" w:history="1">
        <w:r w:rsidRPr="00374723">
          <w:rPr>
            <w:rFonts w:ascii="Gandom" w:eastAsia="Times New Roman" w:hAnsi="Gandom" w:cs="B Nazanin"/>
            <w:sz w:val="26"/>
            <w:szCs w:val="26"/>
            <w:bdr w:val="none" w:sz="0" w:space="0" w:color="auto" w:frame="1"/>
            <w:rtl/>
          </w:rPr>
          <w:t>مراکز مجاز موضوع این ماده، براساس آیین‌نامه‌ای که توسط وزارتخانه‌های بهداشت، درمان و آموز</w:t>
        </w:r>
        <w:bookmarkStart w:id="0" w:name="_GoBack"/>
        <w:bookmarkEnd w:id="0"/>
        <w:r w:rsidRPr="00374723">
          <w:rPr>
            <w:rFonts w:ascii="Gandom" w:eastAsia="Times New Roman" w:hAnsi="Gandom" w:cs="B Nazanin"/>
            <w:sz w:val="26"/>
            <w:szCs w:val="26"/>
            <w:bdr w:val="none" w:sz="0" w:space="0" w:color="auto" w:frame="1"/>
            <w:rtl/>
          </w:rPr>
          <w:t>ش پزشکی و رفاه و تأمین اجتماعی ظرف مدت سه ماه پس از تصویب این قانون تهیه و به تصویب ستاد می‌رسد، تعیین می‌شود</w:t>
        </w:r>
        <w:r w:rsidRPr="00374723">
          <w:rPr>
            <w:rFonts w:ascii="Gandom" w:eastAsia="Times New Roman" w:hAnsi="Gandom" w:cs="B Nazanin"/>
            <w:sz w:val="26"/>
            <w:szCs w:val="26"/>
            <w:bdr w:val="none" w:sz="0" w:space="0" w:color="auto" w:frame="1"/>
          </w:rPr>
          <w:t>.</w:t>
        </w:r>
      </w:hyperlink>
    </w:p>
    <w:p w:rsidR="00374723" w:rsidRPr="00374723" w:rsidRDefault="00374723" w:rsidP="00374723">
      <w:pPr>
        <w:shd w:val="clear" w:color="auto" w:fill="FFFFFF"/>
        <w:bidi/>
        <w:spacing w:after="0" w:line="240" w:lineRule="auto"/>
        <w:jc w:val="both"/>
        <w:rPr>
          <w:rFonts w:ascii="Gandom" w:eastAsia="Times New Roman" w:hAnsi="Gandom" w:cs="B Nazanin"/>
          <w:sz w:val="26"/>
          <w:szCs w:val="26"/>
        </w:rPr>
      </w:pPr>
      <w:r w:rsidRPr="00374723">
        <w:rPr>
          <w:rFonts w:ascii="Gandom" w:eastAsia="Times New Roman" w:hAnsi="Gandom" w:cs="B Nazanin"/>
          <w:b/>
          <w:bCs/>
          <w:sz w:val="26"/>
          <w:szCs w:val="26"/>
          <w:bdr w:val="none" w:sz="0" w:space="0" w:color="auto" w:frame="1"/>
          <w:rtl/>
        </w:rPr>
        <w:t>تبصره</w:t>
      </w:r>
      <w:r w:rsidRPr="00374723">
        <w:rPr>
          <w:rFonts w:ascii="Gandom" w:eastAsia="Times New Roman" w:hAnsi="Gandom" w:cs="B Nazanin"/>
          <w:b/>
          <w:bCs/>
          <w:sz w:val="26"/>
          <w:szCs w:val="26"/>
          <w:bdr w:val="none" w:sz="0" w:space="0" w:color="auto" w:frame="1"/>
          <w:rtl/>
          <w:lang w:bidi="fa-IR"/>
        </w:rPr>
        <w:t>۲</w:t>
      </w:r>
      <w:r w:rsidRPr="00374723">
        <w:rPr>
          <w:rFonts w:ascii="Gandom" w:eastAsia="Times New Roman" w:hAnsi="Gandom" w:cs="B Nazanin"/>
          <w:b/>
          <w:bCs/>
          <w:sz w:val="26"/>
          <w:szCs w:val="26"/>
          <w:bdr w:val="none" w:sz="0" w:space="0" w:color="auto" w:frame="1"/>
          <w:rtl/>
        </w:rPr>
        <w:t>ـ</w:t>
      </w:r>
      <w:r w:rsidRPr="00374723">
        <w:rPr>
          <w:rFonts w:ascii="Gandom" w:eastAsia="Times New Roman" w:hAnsi="Gandom" w:cs="B Nazanin"/>
          <w:sz w:val="26"/>
          <w:szCs w:val="26"/>
        </w:rPr>
        <w:t> </w:t>
      </w:r>
      <w:r w:rsidRPr="00374723">
        <w:rPr>
          <w:rFonts w:ascii="Gandom" w:eastAsia="Times New Roman" w:hAnsi="Gandom" w:cs="B Nazanin"/>
          <w:sz w:val="26"/>
          <w:szCs w:val="26"/>
          <w:rtl/>
        </w:rPr>
        <w:t>وزارت رفاه و تأمین اجتماعی موظف است ضمن تحت پوشش درمان و کاهش آسیب قراردادن معتادان بی‌بضاعت، تمام هزینه‌های ترک اعتیاد را مشمول بیمه‌های پایه و بستری قرار دهد. دولت مکلف است همه‌ساله در لوایح بودجه، اعتبارات لازم را پیش‌بینی و تأمین نماید</w:t>
      </w:r>
      <w:r w:rsidRPr="00374723">
        <w:rPr>
          <w:rFonts w:ascii="Gandom" w:eastAsia="Times New Roman" w:hAnsi="Gandom" w:cs="B Nazanin"/>
          <w:sz w:val="26"/>
          <w:szCs w:val="26"/>
        </w:rPr>
        <w:t>.</w:t>
      </w:r>
    </w:p>
    <w:p w:rsidR="00374723" w:rsidRPr="00374723" w:rsidRDefault="00374723" w:rsidP="00374723">
      <w:pPr>
        <w:shd w:val="clear" w:color="auto" w:fill="FFFFFF"/>
        <w:bidi/>
        <w:spacing w:after="0" w:line="240" w:lineRule="auto"/>
        <w:jc w:val="both"/>
        <w:rPr>
          <w:rFonts w:ascii="Gandom" w:eastAsia="Times New Roman" w:hAnsi="Gandom" w:cs="B Nazanin"/>
          <w:sz w:val="26"/>
          <w:szCs w:val="26"/>
        </w:rPr>
      </w:pPr>
      <w:r w:rsidRPr="00374723">
        <w:rPr>
          <w:rFonts w:ascii="Gandom" w:eastAsia="Times New Roman" w:hAnsi="Gandom" w:cs="B Nazanin"/>
          <w:b/>
          <w:bCs/>
          <w:sz w:val="26"/>
          <w:szCs w:val="26"/>
          <w:bdr w:val="none" w:sz="0" w:space="0" w:color="auto" w:frame="1"/>
          <w:rtl/>
        </w:rPr>
        <w:t xml:space="preserve">تبصره </w:t>
      </w:r>
      <w:r w:rsidRPr="00374723">
        <w:rPr>
          <w:rFonts w:ascii="Gandom" w:eastAsia="Times New Roman" w:hAnsi="Gandom" w:cs="B Nazanin"/>
          <w:b/>
          <w:bCs/>
          <w:sz w:val="26"/>
          <w:szCs w:val="26"/>
          <w:bdr w:val="none" w:sz="0" w:space="0" w:color="auto" w:frame="1"/>
          <w:rtl/>
          <w:lang w:bidi="fa-IR"/>
        </w:rPr>
        <w:t>۳</w:t>
      </w:r>
      <w:r w:rsidRPr="00374723">
        <w:rPr>
          <w:rFonts w:ascii="Gandom" w:eastAsia="Times New Roman" w:hAnsi="Gandom" w:cs="B Nazanin"/>
          <w:b/>
          <w:bCs/>
          <w:sz w:val="26"/>
          <w:szCs w:val="26"/>
          <w:bdr w:val="none" w:sz="0" w:space="0" w:color="auto" w:frame="1"/>
          <w:rtl/>
        </w:rPr>
        <w:t xml:space="preserve"> ـ</w:t>
      </w:r>
      <w:r w:rsidRPr="00374723">
        <w:rPr>
          <w:rFonts w:ascii="Times New Roman" w:eastAsia="Times New Roman" w:hAnsi="Times New Roman" w:cs="Times New Roman" w:hint="cs"/>
          <w:sz w:val="26"/>
          <w:szCs w:val="26"/>
          <w:rtl/>
        </w:rPr>
        <w:t> </w:t>
      </w:r>
      <w:r w:rsidRPr="00374723">
        <w:rPr>
          <w:rFonts w:ascii="Gandom" w:eastAsia="Times New Roman" w:hAnsi="Gandom" w:cs="B Nazanin"/>
          <w:sz w:val="26"/>
          <w:szCs w:val="26"/>
          <w:rtl/>
        </w:rPr>
        <w:t>دولت مکلف است برای احیا و ایجاد اردوگاه های باز پروری معتادین به مواد مخدر اقدام لازم را به عمل آورد.</w:t>
      </w:r>
    </w:p>
    <w:p w:rsidR="00374723" w:rsidRPr="00374723" w:rsidRDefault="00374723" w:rsidP="00374723">
      <w:pPr>
        <w:shd w:val="clear" w:color="auto" w:fill="FFFFFF"/>
        <w:bidi/>
        <w:spacing w:after="0" w:line="240" w:lineRule="auto"/>
        <w:jc w:val="both"/>
        <w:rPr>
          <w:rFonts w:ascii="Gandom" w:eastAsia="Times New Roman" w:hAnsi="Gandom" w:cs="B Nazanin"/>
          <w:sz w:val="26"/>
          <w:szCs w:val="26"/>
          <w:rtl/>
        </w:rPr>
      </w:pPr>
      <w:r w:rsidRPr="00374723">
        <w:rPr>
          <w:rFonts w:ascii="Gandom" w:eastAsia="Times New Roman" w:hAnsi="Gandom" w:cs="B Nazanin"/>
          <w:b/>
          <w:bCs/>
          <w:sz w:val="26"/>
          <w:szCs w:val="26"/>
          <w:bdr w:val="none" w:sz="0" w:space="0" w:color="auto" w:frame="1"/>
          <w:rtl/>
        </w:rPr>
        <w:t>ماده</w:t>
      </w:r>
      <w:r w:rsidRPr="00374723">
        <w:rPr>
          <w:rFonts w:ascii="Gandom" w:eastAsia="Times New Roman" w:hAnsi="Gandom" w:cs="B Nazanin"/>
          <w:b/>
          <w:bCs/>
          <w:sz w:val="26"/>
          <w:szCs w:val="26"/>
          <w:bdr w:val="none" w:sz="0" w:space="0" w:color="auto" w:frame="1"/>
          <w:rtl/>
          <w:lang w:bidi="fa-IR"/>
        </w:rPr>
        <w:t>۱۶</w:t>
      </w:r>
      <w:r w:rsidRPr="00374723">
        <w:rPr>
          <w:rFonts w:ascii="Gandom" w:eastAsia="Times New Roman" w:hAnsi="Gandom" w:cs="B Nazanin"/>
          <w:b/>
          <w:bCs/>
          <w:sz w:val="26"/>
          <w:szCs w:val="26"/>
          <w:bdr w:val="none" w:sz="0" w:space="0" w:color="auto" w:frame="1"/>
          <w:rtl/>
        </w:rPr>
        <w:t>ـ</w:t>
      </w:r>
      <w:r w:rsidRPr="00374723">
        <w:rPr>
          <w:rFonts w:ascii="Gandom" w:eastAsia="Times New Roman" w:hAnsi="Gandom" w:cs="B Nazanin"/>
          <w:sz w:val="26"/>
          <w:szCs w:val="26"/>
        </w:rPr>
        <w:t> </w:t>
      </w:r>
      <w:r w:rsidRPr="00374723">
        <w:rPr>
          <w:rFonts w:ascii="Gandom" w:eastAsia="Times New Roman" w:hAnsi="Gandom" w:cs="B Nazanin"/>
          <w:sz w:val="26"/>
          <w:szCs w:val="26"/>
          <w:rtl/>
        </w:rPr>
        <w:t>معتادان به مواد مخدر و روان‌گردان مذکور در دو ماده (</w:t>
      </w:r>
      <w:r w:rsidRPr="00374723">
        <w:rPr>
          <w:rFonts w:ascii="Gandom" w:eastAsia="Times New Roman" w:hAnsi="Gandom" w:cs="B Nazanin"/>
          <w:sz w:val="26"/>
          <w:szCs w:val="26"/>
          <w:rtl/>
          <w:lang w:bidi="fa-IR"/>
        </w:rPr>
        <w:t xml:space="preserve">۴) </w:t>
      </w:r>
      <w:r w:rsidRPr="00374723">
        <w:rPr>
          <w:rFonts w:ascii="Gandom" w:eastAsia="Times New Roman" w:hAnsi="Gandom" w:cs="B Nazanin"/>
          <w:sz w:val="26"/>
          <w:szCs w:val="26"/>
          <w:rtl/>
        </w:rPr>
        <w:t>و (</w:t>
      </w:r>
      <w:r w:rsidRPr="00374723">
        <w:rPr>
          <w:rFonts w:ascii="Gandom" w:eastAsia="Times New Roman" w:hAnsi="Gandom" w:cs="B Nazanin"/>
          <w:sz w:val="26"/>
          <w:szCs w:val="26"/>
          <w:rtl/>
          <w:lang w:bidi="fa-IR"/>
        </w:rPr>
        <w:t xml:space="preserve">۸) </w:t>
      </w:r>
      <w:r w:rsidRPr="00374723">
        <w:rPr>
          <w:rFonts w:ascii="Gandom" w:eastAsia="Times New Roman" w:hAnsi="Gandom" w:cs="B Nazanin"/>
          <w:sz w:val="26"/>
          <w:szCs w:val="26"/>
          <w:rtl/>
        </w:rPr>
        <w:t>فاقد گواهی موضوع ماده (</w:t>
      </w:r>
      <w:r w:rsidRPr="00374723">
        <w:rPr>
          <w:rFonts w:ascii="Gandom" w:eastAsia="Times New Roman" w:hAnsi="Gandom" w:cs="B Nazanin"/>
          <w:sz w:val="26"/>
          <w:szCs w:val="26"/>
          <w:rtl/>
          <w:lang w:bidi="fa-IR"/>
        </w:rPr>
        <w:t xml:space="preserve">۱۵) </w:t>
      </w:r>
      <w:r w:rsidRPr="00374723">
        <w:rPr>
          <w:rFonts w:ascii="Gandom" w:eastAsia="Times New Roman" w:hAnsi="Gandom" w:cs="B Nazanin"/>
          <w:sz w:val="26"/>
          <w:szCs w:val="26"/>
          <w:rtl/>
        </w:rPr>
        <w:t>و متجاهر به اعتیاد، با دستور مقام قضایی برای مدت یک تا سه ماه در مراکز دولتی و مجاز درمان و کاهش آسیب نگهداری می‌شوند. تمدید مهلت برای یک دوره سه‌ماهه دیگر با درخواست مراکز مذکور بلامانع است. با گزارش مراکز مذکور و بنابر نظر مقام قضایی، چنانچه معتاد آماده تداوم درمان طبق ماده (</w:t>
      </w:r>
      <w:r w:rsidRPr="00374723">
        <w:rPr>
          <w:rFonts w:ascii="Gandom" w:eastAsia="Times New Roman" w:hAnsi="Gandom" w:cs="B Nazanin"/>
          <w:sz w:val="26"/>
          <w:szCs w:val="26"/>
          <w:rtl/>
          <w:lang w:bidi="fa-IR"/>
        </w:rPr>
        <w:t xml:space="preserve">۱۵) </w:t>
      </w:r>
      <w:r w:rsidRPr="00374723">
        <w:rPr>
          <w:rFonts w:ascii="Gandom" w:eastAsia="Times New Roman" w:hAnsi="Gandom" w:cs="B Nazanin"/>
          <w:sz w:val="26"/>
          <w:szCs w:val="26"/>
          <w:rtl/>
        </w:rPr>
        <w:t>این قانون باشد، تداوم درمان وفق ماده مزبور بلامانع می‌باشد</w:t>
      </w:r>
      <w:r w:rsidRPr="00374723">
        <w:rPr>
          <w:rFonts w:ascii="Gandom" w:eastAsia="Times New Roman" w:hAnsi="Gandom" w:cs="B Nazanin"/>
          <w:sz w:val="26"/>
          <w:szCs w:val="26"/>
        </w:rPr>
        <w:t>.</w:t>
      </w:r>
      <w:r w:rsidRPr="00374723">
        <w:rPr>
          <w:rFonts w:ascii="Tahoma" w:hAnsi="Tahoma" w:cs="Tahoma"/>
          <w:sz w:val="20"/>
          <w:szCs w:val="20"/>
          <w:shd w:val="clear" w:color="auto" w:fill="FFFFFF"/>
          <w:rtl/>
        </w:rPr>
        <w:t xml:space="preserve"> </w:t>
      </w:r>
      <w:r w:rsidRPr="00374723">
        <w:rPr>
          <w:rFonts w:ascii="Gandom" w:eastAsia="Times New Roman" w:hAnsi="Gandom" w:cs="B Nazanin"/>
          <w:sz w:val="26"/>
          <w:szCs w:val="26"/>
          <w:rtl/>
        </w:rPr>
        <w:t>صدور مجوز مراکز ماده 16 بر عهده وزارت بهداشت است</w:t>
      </w:r>
      <w:r w:rsidRPr="00374723">
        <w:rPr>
          <w:rFonts w:ascii="Gandom" w:eastAsia="Times New Roman" w:hAnsi="Gandom" w:cs="B Nazanin" w:hint="cs"/>
          <w:sz w:val="26"/>
          <w:szCs w:val="26"/>
          <w:rtl/>
        </w:rPr>
        <w:t>.</w:t>
      </w:r>
      <w:r w:rsidRPr="00374723">
        <w:rPr>
          <w:rFonts w:ascii="Gandom" w:eastAsia="Times New Roman" w:hAnsi="Gandom" w:cs="B Nazanin"/>
          <w:sz w:val="26"/>
          <w:szCs w:val="26"/>
        </w:rPr>
        <w:t> </w:t>
      </w:r>
    </w:p>
    <w:p w:rsidR="00374723" w:rsidRPr="00374723" w:rsidRDefault="00374723" w:rsidP="00374723">
      <w:pPr>
        <w:shd w:val="clear" w:color="auto" w:fill="FFFFFF"/>
        <w:bidi/>
        <w:spacing w:after="0" w:line="240" w:lineRule="auto"/>
        <w:jc w:val="both"/>
        <w:rPr>
          <w:rFonts w:ascii="Gandom" w:eastAsia="Times New Roman" w:hAnsi="Gandom" w:cs="B Nazanin"/>
          <w:sz w:val="26"/>
          <w:szCs w:val="26"/>
          <w:rtl/>
        </w:rPr>
      </w:pPr>
      <w:r w:rsidRPr="00374723">
        <w:rPr>
          <w:rFonts w:ascii="Gandom" w:eastAsia="Times New Roman" w:hAnsi="Gandom" w:cs="B Nazanin"/>
          <w:b/>
          <w:bCs/>
          <w:sz w:val="26"/>
          <w:szCs w:val="26"/>
          <w:bdr w:val="none" w:sz="0" w:space="0" w:color="auto" w:frame="1"/>
          <w:rtl/>
        </w:rPr>
        <w:t>تبصره</w:t>
      </w:r>
      <w:r w:rsidRPr="00374723">
        <w:rPr>
          <w:rFonts w:ascii="Gandom" w:eastAsia="Times New Roman" w:hAnsi="Gandom" w:cs="B Nazanin"/>
          <w:b/>
          <w:bCs/>
          <w:sz w:val="26"/>
          <w:szCs w:val="26"/>
          <w:bdr w:val="none" w:sz="0" w:space="0" w:color="auto" w:frame="1"/>
          <w:rtl/>
          <w:lang w:bidi="fa-IR"/>
        </w:rPr>
        <w:t>۱</w:t>
      </w:r>
      <w:r w:rsidRPr="00374723">
        <w:rPr>
          <w:rFonts w:ascii="Gandom" w:eastAsia="Times New Roman" w:hAnsi="Gandom" w:cs="B Nazanin"/>
          <w:b/>
          <w:bCs/>
          <w:sz w:val="26"/>
          <w:szCs w:val="26"/>
          <w:bdr w:val="none" w:sz="0" w:space="0" w:color="auto" w:frame="1"/>
          <w:rtl/>
        </w:rPr>
        <w:t>ـ</w:t>
      </w:r>
      <w:r w:rsidRPr="00374723">
        <w:rPr>
          <w:rFonts w:ascii="Gandom" w:eastAsia="Times New Roman" w:hAnsi="Gandom" w:cs="B Nazanin"/>
          <w:sz w:val="26"/>
          <w:szCs w:val="26"/>
        </w:rPr>
        <w:t> </w:t>
      </w:r>
      <w:r w:rsidRPr="00374723">
        <w:rPr>
          <w:rFonts w:ascii="Gandom" w:eastAsia="Times New Roman" w:hAnsi="Gandom" w:cs="B Nazanin"/>
          <w:sz w:val="26"/>
          <w:szCs w:val="26"/>
          <w:rtl/>
        </w:rPr>
        <w:t>با درخواست مراکز مذکور و طبق دستور مقام قضایی، معتادان موضوع این ماده مکلف به اجرای تکالیف مراقبت بعد از خروج می‌باشند که بنابر پیشنهاد دبیرخانه ستاد با همکاری دستگاه‌های ذیربط، تهیه و به تصویب رئیس قوه قضاییه می‌رسد</w:t>
      </w:r>
      <w:r w:rsidRPr="00374723">
        <w:rPr>
          <w:rFonts w:ascii="Gandom" w:eastAsia="Times New Roman" w:hAnsi="Gandom" w:cs="B Nazanin"/>
          <w:sz w:val="26"/>
          <w:szCs w:val="26"/>
        </w:rPr>
        <w:t>.</w:t>
      </w:r>
    </w:p>
    <w:p w:rsidR="00374723" w:rsidRPr="00374723" w:rsidRDefault="00374723" w:rsidP="00374723">
      <w:pPr>
        <w:shd w:val="clear" w:color="auto" w:fill="FFFFFF"/>
        <w:bidi/>
        <w:spacing w:after="0" w:line="240" w:lineRule="auto"/>
        <w:jc w:val="both"/>
        <w:rPr>
          <w:rFonts w:ascii="Gandom" w:eastAsia="Times New Roman" w:hAnsi="Gandom" w:cs="B Nazanin"/>
          <w:sz w:val="26"/>
          <w:szCs w:val="26"/>
          <w:rtl/>
        </w:rPr>
      </w:pPr>
      <w:r w:rsidRPr="00374723">
        <w:rPr>
          <w:rFonts w:ascii="Gandom" w:eastAsia="Times New Roman" w:hAnsi="Gandom" w:cs="B Nazanin"/>
          <w:b/>
          <w:bCs/>
          <w:sz w:val="26"/>
          <w:szCs w:val="26"/>
          <w:bdr w:val="none" w:sz="0" w:space="0" w:color="auto" w:frame="1"/>
          <w:rtl/>
        </w:rPr>
        <w:t>تبصره</w:t>
      </w:r>
      <w:r w:rsidRPr="00374723">
        <w:rPr>
          <w:rFonts w:ascii="Gandom" w:eastAsia="Times New Roman" w:hAnsi="Gandom" w:cs="B Nazanin"/>
          <w:b/>
          <w:bCs/>
          <w:sz w:val="26"/>
          <w:szCs w:val="26"/>
          <w:bdr w:val="none" w:sz="0" w:space="0" w:color="auto" w:frame="1"/>
          <w:rtl/>
          <w:lang w:bidi="fa-IR"/>
        </w:rPr>
        <w:t>۲</w:t>
      </w:r>
      <w:r w:rsidRPr="00374723">
        <w:rPr>
          <w:rFonts w:ascii="Gandom" w:eastAsia="Times New Roman" w:hAnsi="Gandom" w:cs="B Nazanin"/>
          <w:b/>
          <w:bCs/>
          <w:sz w:val="26"/>
          <w:szCs w:val="26"/>
          <w:bdr w:val="none" w:sz="0" w:space="0" w:color="auto" w:frame="1"/>
          <w:rtl/>
        </w:rPr>
        <w:t>ـ</w:t>
      </w:r>
      <w:r w:rsidRPr="00374723">
        <w:rPr>
          <w:rFonts w:ascii="Gandom" w:eastAsia="Times New Roman" w:hAnsi="Gandom" w:cs="B Nazanin"/>
          <w:sz w:val="26"/>
          <w:szCs w:val="26"/>
        </w:rPr>
        <w:t> </w:t>
      </w:r>
      <w:r w:rsidRPr="00374723">
        <w:rPr>
          <w:rFonts w:ascii="Gandom" w:eastAsia="Times New Roman" w:hAnsi="Gandom" w:cs="B Nazanin"/>
          <w:sz w:val="26"/>
          <w:szCs w:val="26"/>
          <w:rtl/>
        </w:rPr>
        <w:t>مقام قضایی می‌تواند برای یک بار با اخذ تأمین مناسب و تعهد به ارائه گواهی موضوع ماده (</w:t>
      </w:r>
      <w:r w:rsidRPr="00374723">
        <w:rPr>
          <w:rFonts w:ascii="Gandom" w:eastAsia="Times New Roman" w:hAnsi="Gandom" w:cs="B Nazanin"/>
          <w:sz w:val="26"/>
          <w:szCs w:val="26"/>
          <w:rtl/>
          <w:lang w:bidi="fa-IR"/>
        </w:rPr>
        <w:t xml:space="preserve">۱۵) </w:t>
      </w:r>
      <w:r w:rsidRPr="00374723">
        <w:rPr>
          <w:rFonts w:ascii="Gandom" w:eastAsia="Times New Roman" w:hAnsi="Gandom" w:cs="B Nazanin"/>
          <w:sz w:val="26"/>
          <w:szCs w:val="26"/>
          <w:rtl/>
        </w:rPr>
        <w:t>این قانون، نسبت به تعلیق تعقیب به مدت شش ماهه اقدام و معتاد را به یکی از مراکز موضوع ماده مزبور معرفی نماید. مراکز مذکور موظفند ماهیانه گزارش روند درمان معتاد را به مقام قضایی یا نماینده وی ارائه نمایند. در صورت تأیید درمان و ترک اعتیاد با صدور قرار موقوفی تعقیب توسط دادستان، پرونده بایگانی و در غیراین‌صورت طبق مفاد این ماده اقدام می‌شود. تمدید مهلت موضوع این تبصره با درخواست مراکز ذیربط برای یک دوره سه‌ماهه دیگر بلامانع است</w:t>
      </w:r>
      <w:r w:rsidRPr="00374723">
        <w:rPr>
          <w:rFonts w:ascii="Gandom" w:eastAsia="Times New Roman" w:hAnsi="Gandom" w:cs="B Nazanin"/>
          <w:sz w:val="26"/>
          <w:szCs w:val="26"/>
        </w:rPr>
        <w:t>.</w:t>
      </w:r>
    </w:p>
    <w:p w:rsidR="00374723" w:rsidRPr="00374723" w:rsidRDefault="00374723" w:rsidP="00374723">
      <w:pPr>
        <w:shd w:val="clear" w:color="auto" w:fill="FFFFFF"/>
        <w:bidi/>
        <w:spacing w:after="0" w:line="240" w:lineRule="auto"/>
        <w:jc w:val="both"/>
        <w:rPr>
          <w:rFonts w:ascii="Gandom" w:eastAsia="Times New Roman" w:hAnsi="Gandom" w:cs="B Nazanin"/>
          <w:sz w:val="26"/>
          <w:szCs w:val="26"/>
          <w:rtl/>
        </w:rPr>
      </w:pPr>
      <w:r w:rsidRPr="00374723">
        <w:rPr>
          <w:rFonts w:ascii="Gandom" w:eastAsia="Times New Roman" w:hAnsi="Gandom" w:cs="B Nazanin"/>
          <w:b/>
          <w:bCs/>
          <w:sz w:val="26"/>
          <w:szCs w:val="26"/>
          <w:bdr w:val="none" w:sz="0" w:space="0" w:color="auto" w:frame="1"/>
          <w:rtl/>
        </w:rPr>
        <w:t>تبصره</w:t>
      </w:r>
      <w:r w:rsidRPr="00374723">
        <w:rPr>
          <w:rFonts w:ascii="Gandom" w:eastAsia="Times New Roman" w:hAnsi="Gandom" w:cs="B Nazanin"/>
          <w:b/>
          <w:bCs/>
          <w:sz w:val="26"/>
          <w:szCs w:val="26"/>
          <w:bdr w:val="none" w:sz="0" w:space="0" w:color="auto" w:frame="1"/>
          <w:rtl/>
          <w:lang w:bidi="fa-IR"/>
        </w:rPr>
        <w:t>۳</w:t>
      </w:r>
      <w:r w:rsidRPr="00374723">
        <w:rPr>
          <w:rFonts w:ascii="Gandom" w:eastAsia="Times New Roman" w:hAnsi="Gandom" w:cs="B Nazanin"/>
          <w:b/>
          <w:bCs/>
          <w:sz w:val="26"/>
          <w:szCs w:val="26"/>
          <w:bdr w:val="none" w:sz="0" w:space="0" w:color="auto" w:frame="1"/>
          <w:rtl/>
        </w:rPr>
        <w:t>ـ</w:t>
      </w:r>
      <w:r w:rsidRPr="00374723">
        <w:rPr>
          <w:rFonts w:ascii="Gandom" w:eastAsia="Times New Roman" w:hAnsi="Gandom" w:cs="B Nazanin"/>
          <w:sz w:val="26"/>
          <w:szCs w:val="26"/>
        </w:rPr>
        <w:t> </w:t>
      </w:r>
      <w:r w:rsidRPr="00374723">
        <w:rPr>
          <w:rFonts w:ascii="Gandom" w:eastAsia="Times New Roman" w:hAnsi="Gandom" w:cs="B Nazanin"/>
          <w:sz w:val="26"/>
          <w:szCs w:val="26"/>
          <w:rtl/>
        </w:rPr>
        <w:t>متخلف بدون عذر موجه از تکالیف موضوع تبصره</w:t>
      </w:r>
      <w:r w:rsidRPr="00374723">
        <w:rPr>
          <w:rFonts w:ascii="Gandom" w:eastAsia="Times New Roman" w:hAnsi="Gandom" w:cs="B Nazanin" w:hint="cs"/>
          <w:sz w:val="26"/>
          <w:szCs w:val="26"/>
          <w:rtl/>
        </w:rPr>
        <w:t xml:space="preserve"> </w:t>
      </w:r>
      <w:r w:rsidRPr="00374723">
        <w:rPr>
          <w:rFonts w:ascii="Gandom" w:eastAsia="Times New Roman" w:hAnsi="Gandom" w:cs="B Nazanin"/>
          <w:sz w:val="26"/>
          <w:szCs w:val="26"/>
          <w:rtl/>
        </w:rPr>
        <w:t>(</w:t>
      </w:r>
      <w:r w:rsidRPr="00374723">
        <w:rPr>
          <w:rFonts w:ascii="Gandom" w:eastAsia="Times New Roman" w:hAnsi="Gandom" w:cs="B Nazanin"/>
          <w:sz w:val="26"/>
          <w:szCs w:val="26"/>
          <w:rtl/>
          <w:lang w:bidi="fa-IR"/>
        </w:rPr>
        <w:t xml:space="preserve">۲) </w:t>
      </w:r>
      <w:r w:rsidRPr="00374723">
        <w:rPr>
          <w:rFonts w:ascii="Gandom" w:eastAsia="Times New Roman" w:hAnsi="Gandom" w:cs="B Nazanin"/>
          <w:sz w:val="26"/>
          <w:szCs w:val="26"/>
          <w:rtl/>
        </w:rPr>
        <w:t>این ماده به حبس از نود و یک روز تا شش‌ماه محکوم می‌شود</w:t>
      </w:r>
      <w:r w:rsidRPr="00374723">
        <w:rPr>
          <w:rFonts w:ascii="Gandom" w:eastAsia="Times New Roman" w:hAnsi="Gandom" w:cs="B Nazanin"/>
          <w:sz w:val="26"/>
          <w:szCs w:val="26"/>
        </w:rPr>
        <w:t>.</w:t>
      </w:r>
    </w:p>
    <w:p w:rsidR="00661C61" w:rsidRPr="00374723" w:rsidRDefault="00661C61" w:rsidP="00374723">
      <w:pPr>
        <w:bidi/>
      </w:pPr>
    </w:p>
    <w:sectPr w:rsidR="00661C61" w:rsidRPr="00374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andom">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23"/>
    <w:rsid w:val="00374723"/>
    <w:rsid w:val="00661C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khtebar.com/?p=4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2034</Characters>
  <Application>Microsoft Office Word</Application>
  <DocSecurity>0</DocSecurity>
  <Lines>16</Lines>
  <Paragraphs>4</Paragraphs>
  <ScaleCrop>false</ScaleCrop>
  <Company>MRT www.Win2Farsi.com</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Narges Ahadieh</dc:creator>
  <cp:lastModifiedBy>Narges Ahadieh</cp:lastModifiedBy>
  <cp:revision>1</cp:revision>
  <dcterms:created xsi:type="dcterms:W3CDTF">2018-05-28T10:51:00Z</dcterms:created>
  <dcterms:modified xsi:type="dcterms:W3CDTF">2018-05-28T10:52:00Z</dcterms:modified>
</cp:coreProperties>
</file>